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C2" w:rsidRPr="00E24A63" w:rsidRDefault="00AE5D07" w:rsidP="00AE5D07">
      <w:pPr>
        <w:pStyle w:val="NoSpacing"/>
        <w:ind w:left="2880" w:firstLine="720"/>
      </w:pPr>
      <w:r w:rsidRPr="00AE5D07">
        <w:drawing>
          <wp:inline distT="0" distB="0" distL="0" distR="0">
            <wp:extent cx="1541869" cy="553609"/>
            <wp:effectExtent l="0" t="0" r="0" b="0"/>
            <wp:docPr id="1" name="Picture 1" descr="https://static.wixstatic.com/media/223cb8_8933650ed829498b950bfbc0f0da28d4~mv2_d_4068_1934_s_2.png/v1/crop/x_0,y_231,w_4068,h_1472/fill/w_337,h_121,al_c,usm_0.66_1.00_0.01/223cb8_8933650ed829498b950bfbc0f0da28d4~mv2_d_4068_1934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223cb8_8933650ed829498b950bfbc0f0da28d4~mv2_d_4068_1934_s_2.png/v1/crop/x_0,y_231,w_4068,h_1472/fill/w_337,h_121,al_c,usm_0.66_1.00_0.01/223cb8_8933650ed829498b950bfbc0f0da28d4~mv2_d_4068_1934_s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61" cy="55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C2" w:rsidRPr="00B235C2" w:rsidRDefault="00B235C2" w:rsidP="00AE5D07">
      <w:pPr>
        <w:pStyle w:val="NoSpacing"/>
        <w:pBdr>
          <w:top w:val="single" w:sz="4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B235C2">
        <w:rPr>
          <w:rFonts w:asciiTheme="majorHAnsi" w:hAnsiTheme="majorHAnsi"/>
          <w:b/>
          <w:sz w:val="24"/>
          <w:szCs w:val="24"/>
        </w:rPr>
        <w:t xml:space="preserve">FAMILIARISATION PROGRAM FOR INDEPENDENT DIRECTORS </w:t>
      </w:r>
    </w:p>
    <w:p w:rsidR="00B235C2" w:rsidRPr="00B235C2" w:rsidRDefault="00B235C2" w:rsidP="00AE5D0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235C2">
        <w:rPr>
          <w:rFonts w:asciiTheme="majorHAnsi" w:hAnsiTheme="majorHAnsi"/>
          <w:b/>
          <w:sz w:val="24"/>
          <w:szCs w:val="24"/>
        </w:rPr>
        <w:t>OF</w:t>
      </w:r>
    </w:p>
    <w:p w:rsidR="00AB7429" w:rsidRPr="00B235C2" w:rsidRDefault="00B235C2" w:rsidP="00AE5D07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b/>
          <w:sz w:val="24"/>
          <w:szCs w:val="24"/>
        </w:rPr>
        <w:t>SIRCA PAINTS INDIA LIMITED</w:t>
      </w:r>
    </w:p>
    <w:p w:rsidR="00B235C2" w:rsidRDefault="00B235C2" w:rsidP="00AB7429">
      <w:pPr>
        <w:tabs>
          <w:tab w:val="left" w:pos="105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B235C2" w:rsidRPr="00B235C2" w:rsidRDefault="00B235C2" w:rsidP="00B235C2">
      <w:pPr>
        <w:tabs>
          <w:tab w:val="left" w:pos="1050"/>
        </w:tabs>
        <w:rPr>
          <w:rFonts w:asciiTheme="majorHAnsi" w:hAnsiTheme="majorHAnsi"/>
          <w:b/>
          <w:sz w:val="24"/>
          <w:szCs w:val="24"/>
          <w:u w:val="single"/>
        </w:rPr>
      </w:pPr>
      <w:r w:rsidRPr="00B235C2">
        <w:rPr>
          <w:rFonts w:asciiTheme="majorHAnsi" w:hAnsiTheme="majorHAnsi"/>
          <w:b/>
          <w:sz w:val="24"/>
          <w:szCs w:val="24"/>
          <w:u w:val="single"/>
        </w:rPr>
        <w:t>1. INTRODUCTION</w:t>
      </w:r>
    </w:p>
    <w:p w:rsidR="00B235C2" w:rsidRPr="00B235C2" w:rsidRDefault="00B235C2" w:rsidP="00B235C2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 xml:space="preserve">In terms of Schedule IV of the Companies Act, 2013 and the Regulation 25(7) of the SEBI(Listing Obligations and Disclosure Requirements) Regulations, 2015 (“Listing Regulations”) the Company shall </w:t>
      </w:r>
      <w:proofErr w:type="spellStart"/>
      <w:r w:rsidRPr="00B235C2">
        <w:rPr>
          <w:rFonts w:asciiTheme="majorHAnsi" w:hAnsiTheme="majorHAnsi"/>
          <w:sz w:val="24"/>
          <w:szCs w:val="24"/>
        </w:rPr>
        <w:t>familiarise</w:t>
      </w:r>
      <w:proofErr w:type="spellEnd"/>
      <w:r w:rsidRPr="00B235C2">
        <w:rPr>
          <w:rFonts w:asciiTheme="majorHAnsi" w:hAnsiTheme="majorHAnsi"/>
          <w:sz w:val="24"/>
          <w:szCs w:val="24"/>
        </w:rPr>
        <w:t xml:space="preserve"> the Independent Directors with the Company.</w:t>
      </w:r>
    </w:p>
    <w:p w:rsidR="00B235C2" w:rsidRPr="00B235C2" w:rsidRDefault="00B235C2" w:rsidP="00B235C2">
      <w:pPr>
        <w:tabs>
          <w:tab w:val="left" w:pos="1050"/>
        </w:tabs>
        <w:jc w:val="both"/>
        <w:rPr>
          <w:rFonts w:asciiTheme="majorHAnsi" w:hAnsiTheme="majorHAnsi"/>
          <w:b/>
          <w:sz w:val="24"/>
          <w:szCs w:val="24"/>
        </w:rPr>
      </w:pPr>
      <w:r w:rsidRPr="00B235C2">
        <w:rPr>
          <w:rFonts w:asciiTheme="majorHAnsi" w:hAnsiTheme="majorHAnsi"/>
          <w:b/>
          <w:sz w:val="24"/>
          <w:szCs w:val="24"/>
        </w:rPr>
        <w:t xml:space="preserve">The Listing Regulations mandates the Company to </w:t>
      </w:r>
      <w:proofErr w:type="spellStart"/>
      <w:r w:rsidRPr="00B235C2">
        <w:rPr>
          <w:rFonts w:asciiTheme="majorHAnsi" w:hAnsiTheme="majorHAnsi"/>
          <w:b/>
          <w:sz w:val="24"/>
          <w:szCs w:val="24"/>
        </w:rPr>
        <w:t>familiarise</w:t>
      </w:r>
      <w:proofErr w:type="spellEnd"/>
      <w:r w:rsidRPr="00B235C2">
        <w:rPr>
          <w:rFonts w:asciiTheme="majorHAnsi" w:hAnsiTheme="majorHAnsi"/>
          <w:b/>
          <w:sz w:val="24"/>
          <w:szCs w:val="24"/>
        </w:rPr>
        <w:t xml:space="preserve"> the Independent Directors in the following areas:</w:t>
      </w:r>
    </w:p>
    <w:p w:rsidR="00B235C2" w:rsidRPr="00B235C2" w:rsidRDefault="00B235C2" w:rsidP="00B235C2">
      <w:pPr>
        <w:tabs>
          <w:tab w:val="left" w:pos="1050"/>
        </w:tabs>
        <w:rPr>
          <w:rFonts w:asciiTheme="majorHAnsi" w:hAnsiTheme="majorHAnsi"/>
          <w:b/>
          <w:sz w:val="24"/>
          <w:szCs w:val="24"/>
        </w:rPr>
      </w:pPr>
      <w:r w:rsidRPr="00B235C2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B235C2">
        <w:rPr>
          <w:rFonts w:asciiTheme="majorHAnsi" w:hAnsiTheme="majorHAnsi"/>
          <w:b/>
          <w:sz w:val="24"/>
          <w:szCs w:val="24"/>
        </w:rPr>
        <w:t>Familiarisation</w:t>
      </w:r>
      <w:proofErr w:type="spellEnd"/>
      <w:r w:rsidRPr="00B235C2">
        <w:rPr>
          <w:rFonts w:asciiTheme="majorHAnsi" w:hAnsiTheme="majorHAnsi"/>
          <w:b/>
          <w:sz w:val="24"/>
          <w:szCs w:val="24"/>
        </w:rPr>
        <w:t xml:space="preserve"> with the Company;</w:t>
      </w:r>
    </w:p>
    <w:p w:rsidR="00CD7E7C" w:rsidRDefault="00CD7E7C" w:rsidP="00B235C2">
      <w:pPr>
        <w:tabs>
          <w:tab w:val="left" w:pos="105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 Roles;</w:t>
      </w:r>
      <w:r w:rsidR="00B235C2" w:rsidRPr="00B235C2">
        <w:rPr>
          <w:rFonts w:asciiTheme="majorHAnsi" w:hAnsiTheme="majorHAnsi"/>
          <w:b/>
          <w:sz w:val="24"/>
          <w:szCs w:val="24"/>
        </w:rPr>
        <w:t xml:space="preserve"> </w:t>
      </w:r>
    </w:p>
    <w:p w:rsidR="00B235C2" w:rsidRPr="00B235C2" w:rsidRDefault="00CD7E7C" w:rsidP="00B235C2">
      <w:pPr>
        <w:tabs>
          <w:tab w:val="left" w:pos="105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-</w:t>
      </w:r>
      <w:r w:rsidR="00B235C2" w:rsidRPr="00B235C2">
        <w:rPr>
          <w:rFonts w:asciiTheme="majorHAnsi" w:hAnsiTheme="majorHAnsi"/>
          <w:b/>
          <w:sz w:val="24"/>
          <w:szCs w:val="24"/>
        </w:rPr>
        <w:t>Rights and Responsibilities;</w:t>
      </w:r>
    </w:p>
    <w:p w:rsidR="00B235C2" w:rsidRPr="00B235C2" w:rsidRDefault="00B235C2" w:rsidP="00B235C2">
      <w:pPr>
        <w:tabs>
          <w:tab w:val="left" w:pos="1050"/>
        </w:tabs>
        <w:rPr>
          <w:rFonts w:asciiTheme="majorHAnsi" w:hAnsiTheme="majorHAnsi"/>
          <w:b/>
          <w:sz w:val="24"/>
          <w:szCs w:val="24"/>
        </w:rPr>
      </w:pPr>
      <w:r w:rsidRPr="00B235C2">
        <w:rPr>
          <w:rFonts w:asciiTheme="majorHAnsi" w:hAnsiTheme="majorHAnsi"/>
          <w:b/>
          <w:sz w:val="24"/>
          <w:szCs w:val="24"/>
        </w:rPr>
        <w:t>- Nature of Industry; and</w:t>
      </w:r>
    </w:p>
    <w:p w:rsidR="00B235C2" w:rsidRPr="00B235C2" w:rsidRDefault="00B235C2" w:rsidP="00B235C2">
      <w:pPr>
        <w:tabs>
          <w:tab w:val="left" w:pos="1050"/>
        </w:tabs>
        <w:rPr>
          <w:rFonts w:asciiTheme="majorHAnsi" w:hAnsiTheme="majorHAnsi"/>
          <w:b/>
          <w:sz w:val="24"/>
          <w:szCs w:val="24"/>
        </w:rPr>
      </w:pPr>
      <w:r w:rsidRPr="00B235C2">
        <w:rPr>
          <w:rFonts w:asciiTheme="majorHAnsi" w:hAnsiTheme="majorHAnsi"/>
          <w:b/>
          <w:sz w:val="24"/>
          <w:szCs w:val="24"/>
        </w:rPr>
        <w:t>- The business model of the Company.</w:t>
      </w:r>
    </w:p>
    <w:p w:rsidR="00B235C2" w:rsidRPr="00B235C2" w:rsidRDefault="00B235C2" w:rsidP="00B235C2">
      <w:pPr>
        <w:tabs>
          <w:tab w:val="left" w:pos="1050"/>
        </w:tabs>
        <w:rPr>
          <w:rFonts w:asciiTheme="majorHAnsi" w:hAnsiTheme="majorHAnsi"/>
          <w:b/>
          <w:sz w:val="24"/>
          <w:szCs w:val="24"/>
          <w:u w:val="single"/>
        </w:rPr>
      </w:pPr>
      <w:r w:rsidRPr="00B235C2">
        <w:rPr>
          <w:rFonts w:asciiTheme="majorHAnsi" w:hAnsiTheme="majorHAnsi"/>
          <w:b/>
          <w:sz w:val="24"/>
          <w:szCs w:val="24"/>
          <w:u w:val="single"/>
        </w:rPr>
        <w:t>2. PURPOSE &amp; OBJECTIVE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 xml:space="preserve">The Program aims to provide insights into the Company to enable the Independent </w:t>
      </w:r>
      <w:proofErr w:type="gramStart"/>
      <w:r w:rsidRPr="00B235C2">
        <w:rPr>
          <w:rFonts w:asciiTheme="majorHAnsi" w:hAnsiTheme="majorHAnsi"/>
          <w:sz w:val="24"/>
          <w:szCs w:val="24"/>
        </w:rPr>
        <w:t>Directors to understand their roles, rights, responsibilities in the Company and get updated on the Business &amp; Operations of the Company and contribute significantly to the Company.</w:t>
      </w:r>
      <w:proofErr w:type="gramEnd"/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35C2">
        <w:rPr>
          <w:rFonts w:asciiTheme="majorHAnsi" w:hAnsiTheme="majorHAnsi"/>
          <w:b/>
          <w:sz w:val="24"/>
          <w:szCs w:val="24"/>
          <w:u w:val="single"/>
        </w:rPr>
        <w:t>3. DETAILS OF FAMILIARISATION PROGRAMME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(I)</w:t>
      </w:r>
      <w:r w:rsidRPr="00B235C2">
        <w:rPr>
          <w:rFonts w:asciiTheme="majorHAnsi" w:hAnsiTheme="majorHAnsi"/>
          <w:sz w:val="24"/>
          <w:szCs w:val="24"/>
        </w:rPr>
        <w:t>. The Independent Directors get the opportunity to visit various Companies’ Plants, to enable them to have full understanding of manufacturing Operations &amp; Processes of various Plants of the Company and the Industry in which it operates.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(II)</w:t>
      </w:r>
      <w:r w:rsidRPr="00B235C2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B235C2">
        <w:rPr>
          <w:rFonts w:asciiTheme="majorHAnsi" w:hAnsiTheme="majorHAnsi"/>
          <w:sz w:val="24"/>
          <w:szCs w:val="24"/>
        </w:rPr>
        <w:t>To</w:t>
      </w:r>
      <w:proofErr w:type="gramEnd"/>
      <w:r w:rsidRPr="00B235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35C2">
        <w:rPr>
          <w:rFonts w:asciiTheme="majorHAnsi" w:hAnsiTheme="majorHAnsi"/>
          <w:sz w:val="24"/>
          <w:szCs w:val="24"/>
        </w:rPr>
        <w:t>familiarise</w:t>
      </w:r>
      <w:proofErr w:type="spellEnd"/>
      <w:r w:rsidRPr="00B235C2">
        <w:rPr>
          <w:rFonts w:asciiTheme="majorHAnsi" w:hAnsiTheme="majorHAnsi"/>
          <w:sz w:val="24"/>
          <w:szCs w:val="24"/>
        </w:rPr>
        <w:t xml:space="preserve"> the Independent Directors about their roles, responsibilities and duties as Independent Director they were provided an overview of;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a) Criteria of independence applicable to Independent Directors as per clause 49 of the Listing Regulations on Corporate Governance and the Companies Act, 2013;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lastRenderedPageBreak/>
        <w:t>b) Compliance Personnel/Achievers, on whom reliance can be placed by the Independent Directors;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c) Time allocation by the Independent Directors on financial controls, overs</w:t>
      </w:r>
      <w:r>
        <w:rPr>
          <w:rFonts w:asciiTheme="majorHAnsi" w:hAnsiTheme="majorHAnsi"/>
          <w:sz w:val="24"/>
          <w:szCs w:val="24"/>
        </w:rPr>
        <w:t xml:space="preserve">eeing systems of risk </w:t>
      </w:r>
      <w:r w:rsidRPr="00B235C2">
        <w:rPr>
          <w:rFonts w:asciiTheme="majorHAnsi" w:hAnsiTheme="majorHAnsi"/>
          <w:sz w:val="24"/>
          <w:szCs w:val="24"/>
        </w:rPr>
        <w:t>management, financial management compliance, Corporate Socia</w:t>
      </w:r>
      <w:r>
        <w:rPr>
          <w:rFonts w:asciiTheme="majorHAnsi" w:hAnsiTheme="majorHAnsi"/>
          <w:sz w:val="24"/>
          <w:szCs w:val="24"/>
        </w:rPr>
        <w:t xml:space="preserve">l Responsibility, Remuneration, </w:t>
      </w:r>
      <w:r w:rsidRPr="00B235C2">
        <w:rPr>
          <w:rFonts w:asciiTheme="majorHAnsi" w:hAnsiTheme="majorHAnsi"/>
          <w:sz w:val="24"/>
          <w:szCs w:val="24"/>
        </w:rPr>
        <w:t>Stakeholders conflicts, Board effectiveness, strategic dire</w:t>
      </w:r>
      <w:r>
        <w:rPr>
          <w:rFonts w:asciiTheme="majorHAnsi" w:hAnsiTheme="majorHAnsi"/>
          <w:sz w:val="24"/>
          <w:szCs w:val="24"/>
        </w:rPr>
        <w:t xml:space="preserve">ction, Meetings and performance </w:t>
      </w:r>
      <w:r w:rsidRPr="00B235C2">
        <w:rPr>
          <w:rFonts w:asciiTheme="majorHAnsi" w:hAnsiTheme="majorHAnsi"/>
          <w:sz w:val="24"/>
          <w:szCs w:val="24"/>
        </w:rPr>
        <w:t xml:space="preserve">assessment; 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d) Directors Responsibility Statement forming part of Boards’ Report;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e) Vigil Mechanism including policy formulation, disclosures, code f</w:t>
      </w:r>
      <w:r>
        <w:rPr>
          <w:rFonts w:asciiTheme="majorHAnsi" w:hAnsiTheme="majorHAnsi"/>
          <w:sz w:val="24"/>
          <w:szCs w:val="24"/>
        </w:rPr>
        <w:t xml:space="preserve">or Independent Directors, Fraud </w:t>
      </w:r>
      <w:r w:rsidRPr="00B235C2">
        <w:rPr>
          <w:rFonts w:asciiTheme="majorHAnsi" w:hAnsiTheme="majorHAnsi"/>
          <w:sz w:val="24"/>
          <w:szCs w:val="24"/>
        </w:rPr>
        <w:t>response plan, obtaining Audit Committee approval, wherever required;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f) Risk Management systems &amp; framework;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g) Board evaluation process and procedures;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h) Dealing with Related party transactions under the Companies Act, 2013 and the Listing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Regulations;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proofErr w:type="spellStart"/>
      <w:r w:rsidRPr="00B235C2">
        <w:rPr>
          <w:rFonts w:asciiTheme="majorHAnsi" w:hAnsiTheme="majorHAnsi"/>
          <w:sz w:val="24"/>
          <w:szCs w:val="24"/>
        </w:rPr>
        <w:t>i</w:t>
      </w:r>
      <w:proofErr w:type="spellEnd"/>
      <w:r w:rsidRPr="00B235C2">
        <w:rPr>
          <w:rFonts w:asciiTheme="majorHAnsi" w:hAnsiTheme="majorHAnsi"/>
          <w:sz w:val="24"/>
          <w:szCs w:val="24"/>
        </w:rPr>
        <w:t>) Internal Financial Controls and</w:t>
      </w:r>
    </w:p>
    <w:p w:rsid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j) Loans and Investments under the Companies Act, 2013.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(III)</w:t>
      </w:r>
      <w:r w:rsidRPr="00B235C2">
        <w:rPr>
          <w:rFonts w:asciiTheme="majorHAnsi" w:hAnsiTheme="majorHAnsi"/>
          <w:b/>
          <w:sz w:val="24"/>
          <w:szCs w:val="24"/>
        </w:rPr>
        <w:t>. Annual Operating Plan and Capital Budget: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The Company shall through its Chief Financial Officer puts the An</w:t>
      </w:r>
      <w:r>
        <w:rPr>
          <w:rFonts w:asciiTheme="majorHAnsi" w:hAnsiTheme="majorHAnsi"/>
          <w:sz w:val="24"/>
          <w:szCs w:val="24"/>
        </w:rPr>
        <w:t xml:space="preserve">nual Operating Plan and Capital </w:t>
      </w:r>
      <w:r w:rsidRPr="00B235C2">
        <w:rPr>
          <w:rFonts w:asciiTheme="majorHAnsi" w:hAnsiTheme="majorHAnsi"/>
          <w:sz w:val="24"/>
          <w:szCs w:val="24"/>
        </w:rPr>
        <w:t>Budget of the Company as well as a report on the performanc</w:t>
      </w:r>
      <w:r>
        <w:rPr>
          <w:rFonts w:asciiTheme="majorHAnsi" w:hAnsiTheme="majorHAnsi"/>
          <w:sz w:val="24"/>
          <w:szCs w:val="24"/>
        </w:rPr>
        <w:t xml:space="preserve">e of the Company containing the </w:t>
      </w:r>
      <w:r w:rsidRPr="00B235C2">
        <w:rPr>
          <w:rFonts w:asciiTheme="majorHAnsi" w:hAnsiTheme="majorHAnsi"/>
          <w:sz w:val="24"/>
          <w:szCs w:val="24"/>
        </w:rPr>
        <w:t>budgeted and actual results on yearly basis in the Board Meeting for review and appropriate actions;</w:t>
      </w:r>
    </w:p>
    <w:p w:rsidR="00B235C2" w:rsidRPr="00B235C2" w:rsidRDefault="00CD7E7C" w:rsidP="00CD7E7C">
      <w:pPr>
        <w:tabs>
          <w:tab w:val="left" w:pos="1050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(IV). </w:t>
      </w:r>
      <w:r w:rsidR="00B235C2" w:rsidRPr="00B235C2">
        <w:rPr>
          <w:rFonts w:asciiTheme="majorHAnsi" w:hAnsiTheme="majorHAnsi"/>
          <w:b/>
          <w:sz w:val="24"/>
          <w:szCs w:val="24"/>
        </w:rPr>
        <w:t>FOREX Exposure of the Company:</w:t>
      </w:r>
    </w:p>
    <w:p w:rsidR="00B235C2" w:rsidRPr="00B235C2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The Company shall through its Chief Financial Officer puts the detail</w:t>
      </w:r>
      <w:r>
        <w:rPr>
          <w:rFonts w:asciiTheme="majorHAnsi" w:hAnsiTheme="majorHAnsi"/>
          <w:sz w:val="24"/>
          <w:szCs w:val="24"/>
        </w:rPr>
        <w:t xml:space="preserve">s of Foreign Exchange Exposures </w:t>
      </w:r>
      <w:r w:rsidRPr="00B235C2">
        <w:rPr>
          <w:rFonts w:asciiTheme="majorHAnsi" w:hAnsiTheme="majorHAnsi"/>
          <w:sz w:val="24"/>
          <w:szCs w:val="24"/>
        </w:rPr>
        <w:t>availed by the company and the steps taken by the management to lim</w:t>
      </w:r>
      <w:r>
        <w:rPr>
          <w:rFonts w:asciiTheme="majorHAnsi" w:hAnsiTheme="majorHAnsi"/>
          <w:sz w:val="24"/>
          <w:szCs w:val="24"/>
        </w:rPr>
        <w:t xml:space="preserve">it the risk of adverse exchange </w:t>
      </w:r>
      <w:r w:rsidRPr="00B235C2">
        <w:rPr>
          <w:rFonts w:asciiTheme="majorHAnsi" w:hAnsiTheme="majorHAnsi"/>
          <w:sz w:val="24"/>
          <w:szCs w:val="24"/>
        </w:rPr>
        <w:t>rate movement.</w:t>
      </w:r>
    </w:p>
    <w:p w:rsidR="00B235C2" w:rsidRPr="00B235C2" w:rsidRDefault="00CD7E7C" w:rsidP="00CD7E7C">
      <w:pPr>
        <w:tabs>
          <w:tab w:val="left" w:pos="1050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(V).</w:t>
      </w:r>
      <w:r w:rsidR="00B235C2" w:rsidRPr="00B235C2">
        <w:rPr>
          <w:rFonts w:asciiTheme="majorHAnsi" w:hAnsiTheme="majorHAnsi"/>
          <w:b/>
          <w:sz w:val="24"/>
          <w:szCs w:val="24"/>
        </w:rPr>
        <w:t xml:space="preserve"> Business Expansion and new projects:</w:t>
      </w:r>
    </w:p>
    <w:p w:rsidR="00CD7E7C" w:rsidRDefault="00B235C2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The Company shall through its Executive Directors / Senior Ma</w:t>
      </w:r>
      <w:r>
        <w:rPr>
          <w:rFonts w:asciiTheme="majorHAnsi" w:hAnsiTheme="majorHAnsi"/>
          <w:sz w:val="24"/>
          <w:szCs w:val="24"/>
        </w:rPr>
        <w:t xml:space="preserve">nagerial Personnel will put its </w:t>
      </w:r>
      <w:r w:rsidRPr="00B235C2">
        <w:rPr>
          <w:rFonts w:asciiTheme="majorHAnsi" w:hAnsiTheme="majorHAnsi"/>
          <w:sz w:val="24"/>
          <w:szCs w:val="24"/>
        </w:rPr>
        <w:t>business expansion plans and information on new projects from time to time.</w:t>
      </w:r>
    </w:p>
    <w:p w:rsidR="00B235C2" w:rsidRPr="00B235C2" w:rsidRDefault="00CD7E7C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(VI)</w:t>
      </w:r>
      <w:r w:rsidR="00B235C2" w:rsidRPr="00B235C2">
        <w:rPr>
          <w:rFonts w:asciiTheme="majorHAnsi" w:hAnsiTheme="majorHAnsi"/>
          <w:sz w:val="24"/>
          <w:szCs w:val="24"/>
        </w:rPr>
        <w:t>. The Company shall through its Chief Financial Officer puts the pres</w:t>
      </w:r>
      <w:r w:rsidR="00B235C2">
        <w:rPr>
          <w:rFonts w:asciiTheme="majorHAnsi" w:hAnsiTheme="majorHAnsi"/>
          <w:sz w:val="24"/>
          <w:szCs w:val="24"/>
        </w:rPr>
        <w:t xml:space="preserve">entations on quarterly basis in </w:t>
      </w:r>
      <w:r w:rsidR="00B235C2" w:rsidRPr="00B235C2">
        <w:rPr>
          <w:rFonts w:asciiTheme="majorHAnsi" w:hAnsiTheme="majorHAnsi"/>
          <w:sz w:val="24"/>
          <w:szCs w:val="24"/>
        </w:rPr>
        <w:t xml:space="preserve">every board meeting to </w:t>
      </w:r>
      <w:proofErr w:type="spellStart"/>
      <w:r w:rsidR="00B235C2" w:rsidRPr="00B235C2">
        <w:rPr>
          <w:rFonts w:asciiTheme="majorHAnsi" w:hAnsiTheme="majorHAnsi"/>
          <w:sz w:val="24"/>
          <w:szCs w:val="24"/>
        </w:rPr>
        <w:t>familiarise</w:t>
      </w:r>
      <w:proofErr w:type="spellEnd"/>
      <w:r w:rsidR="00B235C2" w:rsidRPr="00B235C2">
        <w:rPr>
          <w:rFonts w:asciiTheme="majorHAnsi" w:hAnsiTheme="majorHAnsi"/>
          <w:sz w:val="24"/>
          <w:szCs w:val="24"/>
        </w:rPr>
        <w:t xml:space="preserve"> the Independent Directors wi</w:t>
      </w:r>
      <w:r w:rsidR="00B235C2">
        <w:rPr>
          <w:rFonts w:asciiTheme="majorHAnsi" w:hAnsiTheme="majorHAnsi"/>
          <w:sz w:val="24"/>
          <w:szCs w:val="24"/>
        </w:rPr>
        <w:t xml:space="preserve">th the strategy, operations and </w:t>
      </w:r>
      <w:r w:rsidR="00B235C2" w:rsidRPr="00B235C2">
        <w:rPr>
          <w:rFonts w:asciiTheme="majorHAnsi" w:hAnsiTheme="majorHAnsi"/>
          <w:sz w:val="24"/>
          <w:szCs w:val="24"/>
        </w:rPr>
        <w:t>functions of the Company;</w:t>
      </w:r>
    </w:p>
    <w:p w:rsidR="00B235C2" w:rsidRPr="00B235C2" w:rsidRDefault="00CD7E7C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(VII)</w:t>
      </w:r>
      <w:r w:rsidR="00B235C2" w:rsidRPr="00B235C2">
        <w:rPr>
          <w:rFonts w:asciiTheme="majorHAnsi" w:hAnsiTheme="majorHAnsi"/>
          <w:sz w:val="24"/>
          <w:szCs w:val="24"/>
        </w:rPr>
        <w:t>. Such presentations will provide an opportunity to the Independent</w:t>
      </w:r>
      <w:r w:rsidR="00B235C2">
        <w:rPr>
          <w:rFonts w:asciiTheme="majorHAnsi" w:hAnsiTheme="majorHAnsi"/>
          <w:sz w:val="24"/>
          <w:szCs w:val="24"/>
        </w:rPr>
        <w:t xml:space="preserve"> Directors to interact with the </w:t>
      </w:r>
      <w:r w:rsidR="00B235C2" w:rsidRPr="00B235C2">
        <w:rPr>
          <w:rFonts w:asciiTheme="majorHAnsi" w:hAnsiTheme="majorHAnsi"/>
          <w:sz w:val="24"/>
          <w:szCs w:val="24"/>
        </w:rPr>
        <w:t>senior leadership team and auditors of the Company and help t</w:t>
      </w:r>
      <w:r w:rsidR="00B235C2">
        <w:rPr>
          <w:rFonts w:asciiTheme="majorHAnsi" w:hAnsiTheme="majorHAnsi"/>
          <w:sz w:val="24"/>
          <w:szCs w:val="24"/>
        </w:rPr>
        <w:t xml:space="preserve">hem to understand the Company’s </w:t>
      </w:r>
      <w:r w:rsidR="00B235C2" w:rsidRPr="00B235C2">
        <w:rPr>
          <w:rFonts w:asciiTheme="majorHAnsi" w:hAnsiTheme="majorHAnsi"/>
          <w:sz w:val="24"/>
          <w:szCs w:val="24"/>
        </w:rPr>
        <w:t>strategy, business model, operations, service and product offerings, markets, organization structure,</w:t>
      </w:r>
      <w:r w:rsidR="00B235C2">
        <w:rPr>
          <w:rFonts w:asciiTheme="majorHAnsi" w:hAnsiTheme="majorHAnsi"/>
          <w:sz w:val="24"/>
          <w:szCs w:val="24"/>
        </w:rPr>
        <w:t xml:space="preserve"> </w:t>
      </w:r>
      <w:r w:rsidR="00B235C2" w:rsidRPr="00B235C2">
        <w:rPr>
          <w:rFonts w:asciiTheme="majorHAnsi" w:hAnsiTheme="majorHAnsi"/>
          <w:sz w:val="24"/>
          <w:szCs w:val="24"/>
        </w:rPr>
        <w:t>finance, human resources, technology, quality, facilities and risk management and such other areas as</w:t>
      </w:r>
      <w:r w:rsidR="00B235C2">
        <w:rPr>
          <w:rFonts w:asciiTheme="majorHAnsi" w:hAnsiTheme="majorHAnsi"/>
          <w:sz w:val="24"/>
          <w:szCs w:val="24"/>
        </w:rPr>
        <w:t xml:space="preserve"> </w:t>
      </w:r>
      <w:r w:rsidR="00B235C2" w:rsidRPr="00B235C2">
        <w:rPr>
          <w:rFonts w:asciiTheme="majorHAnsi" w:hAnsiTheme="majorHAnsi"/>
          <w:sz w:val="24"/>
          <w:szCs w:val="24"/>
        </w:rPr>
        <w:t>may arise from time to time;</w:t>
      </w:r>
    </w:p>
    <w:p w:rsidR="00B235C2" w:rsidRPr="00B235C2" w:rsidRDefault="00CD7E7C" w:rsidP="00CD7E7C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(VIII)</w:t>
      </w:r>
      <w:r w:rsidR="00B235C2" w:rsidRPr="00B235C2">
        <w:rPr>
          <w:rFonts w:asciiTheme="majorHAnsi" w:hAnsiTheme="majorHAnsi"/>
          <w:sz w:val="24"/>
          <w:szCs w:val="24"/>
        </w:rPr>
        <w:t>. Interaction with shareholders from time to time;</w:t>
      </w:r>
    </w:p>
    <w:p w:rsidR="00B235C2" w:rsidRPr="00B235C2" w:rsidRDefault="00CD7E7C" w:rsidP="00AE5D07">
      <w:pPr>
        <w:tabs>
          <w:tab w:val="left" w:pos="105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(IX)</w:t>
      </w:r>
      <w:r w:rsidR="00B235C2" w:rsidRPr="00B235C2">
        <w:rPr>
          <w:rFonts w:asciiTheme="majorHAnsi" w:hAnsiTheme="majorHAnsi"/>
          <w:sz w:val="24"/>
          <w:szCs w:val="24"/>
        </w:rPr>
        <w:t xml:space="preserve">. The Company may conduct an introductory </w:t>
      </w:r>
      <w:proofErr w:type="spellStart"/>
      <w:r w:rsidR="00B235C2" w:rsidRPr="00B235C2">
        <w:rPr>
          <w:rFonts w:asciiTheme="majorHAnsi" w:hAnsiTheme="majorHAnsi"/>
          <w:sz w:val="24"/>
          <w:szCs w:val="24"/>
        </w:rPr>
        <w:t>familiarisation</w:t>
      </w:r>
      <w:proofErr w:type="spellEnd"/>
      <w:r w:rsidR="00B235C2" w:rsidRPr="00B235C2">
        <w:rPr>
          <w:rFonts w:asciiTheme="majorHAnsi" w:hAnsiTheme="majorHAnsi"/>
          <w:sz w:val="24"/>
          <w:szCs w:val="24"/>
        </w:rPr>
        <w:t xml:space="preserve"> pro</w:t>
      </w:r>
      <w:r w:rsidR="00B235C2">
        <w:rPr>
          <w:rFonts w:asciiTheme="majorHAnsi" w:hAnsiTheme="majorHAnsi"/>
          <w:sz w:val="24"/>
          <w:szCs w:val="24"/>
        </w:rPr>
        <w:t xml:space="preserve">gram / presentation, when a new </w:t>
      </w:r>
      <w:r w:rsidR="00B235C2" w:rsidRPr="00B235C2">
        <w:rPr>
          <w:rFonts w:asciiTheme="majorHAnsi" w:hAnsiTheme="majorHAnsi"/>
          <w:sz w:val="24"/>
          <w:szCs w:val="24"/>
        </w:rPr>
        <w:t>Independent Director</w:t>
      </w:r>
      <w:r w:rsidR="00B235C2">
        <w:rPr>
          <w:rFonts w:asciiTheme="majorHAnsi" w:hAnsiTheme="majorHAnsi"/>
          <w:sz w:val="24"/>
          <w:szCs w:val="24"/>
        </w:rPr>
        <w:t xml:space="preserve"> comes on the Board of the Company.</w:t>
      </w:r>
    </w:p>
    <w:p w:rsidR="00B235C2" w:rsidRPr="00B235C2" w:rsidRDefault="00B235C2" w:rsidP="00B235C2">
      <w:pPr>
        <w:tabs>
          <w:tab w:val="left" w:pos="1050"/>
        </w:tabs>
        <w:rPr>
          <w:rFonts w:asciiTheme="majorHAnsi" w:hAnsiTheme="majorHAnsi"/>
          <w:b/>
          <w:sz w:val="24"/>
          <w:szCs w:val="24"/>
          <w:u w:val="single"/>
        </w:rPr>
      </w:pPr>
      <w:r w:rsidRPr="00B235C2">
        <w:rPr>
          <w:rFonts w:asciiTheme="majorHAnsi" w:hAnsiTheme="majorHAnsi"/>
          <w:b/>
          <w:sz w:val="24"/>
          <w:szCs w:val="24"/>
          <w:u w:val="single"/>
        </w:rPr>
        <w:t>4. PROGRAMME AND DISCLOSURE</w:t>
      </w:r>
    </w:p>
    <w:p w:rsidR="00B235C2" w:rsidRPr="00B235C2" w:rsidRDefault="00B235C2" w:rsidP="00B235C2">
      <w:pPr>
        <w:tabs>
          <w:tab w:val="left" w:pos="1050"/>
        </w:tabs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B235C2">
        <w:rPr>
          <w:rFonts w:asciiTheme="majorHAnsi" w:hAnsiTheme="majorHAnsi"/>
          <w:sz w:val="24"/>
          <w:szCs w:val="24"/>
        </w:rPr>
        <w:t>Familiarisation</w:t>
      </w:r>
      <w:proofErr w:type="spellEnd"/>
      <w:r w:rsidRPr="00B235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35C2">
        <w:rPr>
          <w:rFonts w:asciiTheme="majorHAnsi" w:hAnsiTheme="majorHAnsi"/>
          <w:sz w:val="24"/>
          <w:szCs w:val="24"/>
        </w:rPr>
        <w:t>programme</w:t>
      </w:r>
      <w:proofErr w:type="spellEnd"/>
      <w:r w:rsidRPr="00B235C2">
        <w:rPr>
          <w:rFonts w:asciiTheme="majorHAnsi" w:hAnsiTheme="majorHAnsi"/>
          <w:sz w:val="24"/>
          <w:szCs w:val="24"/>
        </w:rPr>
        <w:t xml:space="preserve"> will be conducted “as needed” basis during the Year.</w:t>
      </w:r>
    </w:p>
    <w:p w:rsidR="00B235C2" w:rsidRPr="00B235C2" w:rsidRDefault="00B235C2" w:rsidP="00B235C2">
      <w:pPr>
        <w:tabs>
          <w:tab w:val="left" w:pos="1050"/>
        </w:tabs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 xml:space="preserve">2. As and when </w:t>
      </w:r>
      <w:proofErr w:type="spellStart"/>
      <w:r w:rsidRPr="00B235C2">
        <w:rPr>
          <w:rFonts w:asciiTheme="majorHAnsi" w:hAnsiTheme="majorHAnsi"/>
          <w:sz w:val="24"/>
          <w:szCs w:val="24"/>
        </w:rPr>
        <w:t>familiarisation</w:t>
      </w:r>
      <w:proofErr w:type="spellEnd"/>
      <w:r w:rsidRPr="00B235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35C2">
        <w:rPr>
          <w:rFonts w:asciiTheme="majorHAnsi" w:hAnsiTheme="majorHAnsi"/>
          <w:sz w:val="24"/>
          <w:szCs w:val="24"/>
        </w:rPr>
        <w:t>programme</w:t>
      </w:r>
      <w:proofErr w:type="spellEnd"/>
      <w:r w:rsidRPr="00B235C2">
        <w:rPr>
          <w:rFonts w:asciiTheme="majorHAnsi" w:hAnsiTheme="majorHAnsi"/>
          <w:sz w:val="24"/>
          <w:szCs w:val="24"/>
        </w:rPr>
        <w:t xml:space="preserve"> is conducted, the same will</w:t>
      </w:r>
      <w:r w:rsidR="00CD7E7C">
        <w:rPr>
          <w:rFonts w:asciiTheme="majorHAnsi" w:hAnsiTheme="majorHAnsi"/>
          <w:sz w:val="24"/>
          <w:szCs w:val="24"/>
        </w:rPr>
        <w:t xml:space="preserve"> be disclosed on the website of the Company i.e.</w:t>
      </w:r>
      <w:r w:rsidR="00CD7E7C" w:rsidRPr="00CD7E7C">
        <w:t xml:space="preserve"> </w:t>
      </w:r>
      <w:hyperlink r:id="rId9" w:history="1">
        <w:r w:rsidR="00CD7E7C" w:rsidRPr="00BD27BC">
          <w:rPr>
            <w:rStyle w:val="Hyperlink"/>
            <w:rFonts w:asciiTheme="majorHAnsi" w:hAnsiTheme="majorHAnsi"/>
            <w:sz w:val="24"/>
            <w:szCs w:val="24"/>
          </w:rPr>
          <w:t>http://www.sircapaints.com/</w:t>
        </w:r>
      </w:hyperlink>
      <w:r w:rsidR="00CD7E7C">
        <w:rPr>
          <w:rFonts w:asciiTheme="majorHAnsi" w:hAnsiTheme="majorHAnsi"/>
          <w:sz w:val="24"/>
          <w:szCs w:val="24"/>
        </w:rPr>
        <w:t xml:space="preserve">  </w:t>
      </w:r>
      <w:r w:rsidRPr="00B235C2">
        <w:rPr>
          <w:rFonts w:asciiTheme="majorHAnsi" w:hAnsiTheme="majorHAnsi"/>
          <w:sz w:val="24"/>
          <w:szCs w:val="24"/>
        </w:rPr>
        <w:t>and a web link thereto sh</w:t>
      </w:r>
      <w:r w:rsidR="00CD7E7C">
        <w:rPr>
          <w:rFonts w:asciiTheme="majorHAnsi" w:hAnsiTheme="majorHAnsi"/>
          <w:sz w:val="24"/>
          <w:szCs w:val="24"/>
        </w:rPr>
        <w:t xml:space="preserve">all also be given in the Annual </w:t>
      </w:r>
      <w:r w:rsidRPr="00B235C2">
        <w:rPr>
          <w:rFonts w:asciiTheme="majorHAnsi" w:hAnsiTheme="majorHAnsi"/>
          <w:sz w:val="24"/>
          <w:szCs w:val="24"/>
        </w:rPr>
        <w:t>Reports of the Company.</w:t>
      </w:r>
    </w:p>
    <w:p w:rsidR="00B235C2" w:rsidRPr="00CD7E7C" w:rsidRDefault="00B235C2" w:rsidP="00B235C2">
      <w:pPr>
        <w:tabs>
          <w:tab w:val="left" w:pos="1050"/>
        </w:tabs>
        <w:rPr>
          <w:rFonts w:asciiTheme="majorHAnsi" w:hAnsiTheme="majorHAnsi"/>
          <w:b/>
          <w:sz w:val="24"/>
          <w:szCs w:val="24"/>
          <w:u w:val="single"/>
        </w:rPr>
      </w:pPr>
      <w:r w:rsidRPr="00CD7E7C">
        <w:rPr>
          <w:rFonts w:asciiTheme="majorHAnsi" w:hAnsiTheme="majorHAnsi"/>
          <w:b/>
          <w:sz w:val="24"/>
          <w:szCs w:val="24"/>
          <w:u w:val="single"/>
        </w:rPr>
        <w:t>5. REVIEW OF THE PROGRAM</w:t>
      </w:r>
    </w:p>
    <w:p w:rsidR="00B235C2" w:rsidRPr="00B235C2" w:rsidRDefault="00B235C2" w:rsidP="00B235C2">
      <w:pPr>
        <w:tabs>
          <w:tab w:val="left" w:pos="1050"/>
        </w:tabs>
        <w:rPr>
          <w:rFonts w:asciiTheme="majorHAnsi" w:hAnsiTheme="majorHAnsi"/>
          <w:sz w:val="24"/>
          <w:szCs w:val="24"/>
        </w:rPr>
      </w:pPr>
      <w:r w:rsidRPr="00B235C2">
        <w:rPr>
          <w:rFonts w:asciiTheme="majorHAnsi" w:hAnsiTheme="majorHAnsi"/>
          <w:sz w:val="24"/>
          <w:szCs w:val="24"/>
        </w:rPr>
        <w:t>The Board will review this Program and make revisions as may be required.</w:t>
      </w:r>
    </w:p>
    <w:p w:rsidR="00E24A63" w:rsidRPr="00E24A63" w:rsidRDefault="00E24A63" w:rsidP="00AB7429">
      <w:pPr>
        <w:tabs>
          <w:tab w:val="left" w:pos="1050"/>
        </w:tabs>
        <w:rPr>
          <w:rFonts w:asciiTheme="majorHAnsi" w:hAnsiTheme="majorHAnsi"/>
          <w:sz w:val="24"/>
          <w:szCs w:val="24"/>
        </w:rPr>
      </w:pPr>
    </w:p>
    <w:p w:rsidR="00CD7E7C" w:rsidRDefault="00E24A63" w:rsidP="00CD7E7C">
      <w:pPr>
        <w:tabs>
          <w:tab w:val="left" w:pos="10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ab/>
      </w:r>
      <w:r w:rsidRPr="00E24A63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CD7E7C">
        <w:rPr>
          <w:rFonts w:asciiTheme="majorHAnsi" w:hAnsiTheme="majorHAnsi"/>
          <w:b/>
          <w:sz w:val="24"/>
          <w:szCs w:val="24"/>
        </w:rPr>
        <w:t xml:space="preserve">                   </w:t>
      </w:r>
      <w:r w:rsidRPr="00E24A63">
        <w:rPr>
          <w:rFonts w:asciiTheme="majorHAnsi" w:hAnsiTheme="majorHAnsi"/>
          <w:b/>
          <w:sz w:val="24"/>
          <w:szCs w:val="24"/>
        </w:rPr>
        <w:t xml:space="preserve">  </w:t>
      </w:r>
      <w:r w:rsidR="00CD7E7C">
        <w:rPr>
          <w:rFonts w:asciiTheme="majorHAnsi" w:hAnsiTheme="majorHAnsi"/>
          <w:b/>
          <w:sz w:val="24"/>
          <w:szCs w:val="24"/>
        </w:rPr>
        <w:t xml:space="preserve">       </w:t>
      </w:r>
      <w:r w:rsidRPr="00E24A63">
        <w:rPr>
          <w:rFonts w:asciiTheme="majorHAnsi" w:hAnsiTheme="majorHAnsi"/>
          <w:b/>
          <w:sz w:val="24"/>
          <w:szCs w:val="24"/>
        </w:rPr>
        <w:t xml:space="preserve"> </w:t>
      </w:r>
      <w:r w:rsidR="00CD7E7C" w:rsidRPr="00B235C2">
        <w:rPr>
          <w:rFonts w:asciiTheme="majorHAnsi" w:hAnsiTheme="majorHAnsi"/>
          <w:b/>
          <w:sz w:val="24"/>
          <w:szCs w:val="24"/>
          <w:u w:val="single"/>
        </w:rPr>
        <w:t>*************</w:t>
      </w:r>
    </w:p>
    <w:p w:rsidR="00731B2B" w:rsidRPr="00E24A63" w:rsidRDefault="00CD7E7C" w:rsidP="00E24A6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050"/>
          <w:tab w:val="left" w:pos="2115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="00AB7429" w:rsidRPr="00E24A63">
        <w:rPr>
          <w:rFonts w:asciiTheme="majorHAnsi" w:hAnsiTheme="majorHAnsi"/>
          <w:b/>
          <w:sz w:val="24"/>
          <w:szCs w:val="24"/>
        </w:rPr>
        <w:t>END OF THIS POLICY SIRCA PAINTS INDIA LIMITED</w:t>
      </w:r>
    </w:p>
    <w:sectPr w:rsidR="00731B2B" w:rsidRPr="00E24A63" w:rsidSect="00B235C2">
      <w:headerReference w:type="default" r:id="rId10"/>
      <w:footerReference w:type="default" r:id="rId11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9B" w:rsidRDefault="008E619B" w:rsidP="00AB7429">
      <w:pPr>
        <w:spacing w:after="0" w:line="240" w:lineRule="auto"/>
      </w:pPr>
      <w:r>
        <w:separator/>
      </w:r>
    </w:p>
  </w:endnote>
  <w:endnote w:type="continuationSeparator" w:id="1">
    <w:p w:rsidR="008E619B" w:rsidRDefault="008E619B" w:rsidP="00AB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8584"/>
      <w:docPartObj>
        <w:docPartGallery w:val="Page Numbers (Bottom of Page)"/>
        <w:docPartUnique/>
      </w:docPartObj>
    </w:sdtPr>
    <w:sdtContent>
      <w:p w:rsidR="00AB7429" w:rsidRDefault="00544DF2">
        <w:pPr>
          <w:pStyle w:val="Footer"/>
          <w:jc w:val="center"/>
        </w:pPr>
        <w:fldSimple w:instr=" PAGE   \* MERGEFORMAT ">
          <w:r w:rsidR="00AE5D07">
            <w:rPr>
              <w:noProof/>
            </w:rPr>
            <w:t>2</w:t>
          </w:r>
        </w:fldSimple>
      </w:p>
    </w:sdtContent>
  </w:sdt>
  <w:p w:rsidR="00AB7429" w:rsidRDefault="00AB7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9B" w:rsidRDefault="008E619B" w:rsidP="00AB7429">
      <w:pPr>
        <w:spacing w:after="0" w:line="240" w:lineRule="auto"/>
      </w:pPr>
      <w:r>
        <w:separator/>
      </w:r>
    </w:p>
  </w:footnote>
  <w:footnote w:type="continuationSeparator" w:id="1">
    <w:p w:rsidR="008E619B" w:rsidRDefault="008E619B" w:rsidP="00AB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C2" w:rsidRDefault="00B235C2">
    <w:pPr>
      <w:pStyle w:val="Header"/>
    </w:pPr>
  </w:p>
  <w:p w:rsidR="00B235C2" w:rsidRDefault="00B235C2">
    <w:pPr>
      <w:pStyle w:val="Header"/>
    </w:pPr>
  </w:p>
  <w:p w:rsidR="00B235C2" w:rsidRDefault="00B23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B98"/>
    <w:multiLevelType w:val="hybridMultilevel"/>
    <w:tmpl w:val="82AA2F1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429"/>
    <w:rsid w:val="001D0377"/>
    <w:rsid w:val="00280DB7"/>
    <w:rsid w:val="00544DF2"/>
    <w:rsid w:val="006949F5"/>
    <w:rsid w:val="00731B2B"/>
    <w:rsid w:val="008E619B"/>
    <w:rsid w:val="00AB7429"/>
    <w:rsid w:val="00AE5D07"/>
    <w:rsid w:val="00B235C2"/>
    <w:rsid w:val="00CD7E7C"/>
    <w:rsid w:val="00E24A63"/>
    <w:rsid w:val="00FC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B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429"/>
  </w:style>
  <w:style w:type="paragraph" w:styleId="Footer">
    <w:name w:val="footer"/>
    <w:basedOn w:val="Normal"/>
    <w:link w:val="FooterChar"/>
    <w:uiPriority w:val="99"/>
    <w:unhideWhenUsed/>
    <w:rsid w:val="00AB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29"/>
  </w:style>
  <w:style w:type="paragraph" w:styleId="ListParagraph">
    <w:name w:val="List Paragraph"/>
    <w:basedOn w:val="Normal"/>
    <w:uiPriority w:val="34"/>
    <w:qFormat/>
    <w:rsid w:val="00AB7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E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capai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EA95-EEB8-475D-9C77-99944554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6</cp:revision>
  <dcterms:created xsi:type="dcterms:W3CDTF">2018-06-25T08:11:00Z</dcterms:created>
  <dcterms:modified xsi:type="dcterms:W3CDTF">2018-08-13T09:15:00Z</dcterms:modified>
</cp:coreProperties>
</file>